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DF" w:rsidRDefault="001B75DF" w:rsidP="001B75DF">
      <w:pPr>
        <w:widowControl w:val="0"/>
        <w:spacing w:after="0" w:line="298" w:lineRule="exact"/>
        <w:ind w:right="1460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B75DF" w:rsidRDefault="001B75DF" w:rsidP="001B75DF">
      <w:pPr>
        <w:widowControl w:val="0"/>
        <w:tabs>
          <w:tab w:val="left" w:pos="2498"/>
        </w:tabs>
        <w:spacing w:after="0" w:line="298" w:lineRule="exact"/>
        <w:ind w:right="-1" w:firstLine="851"/>
        <w:jc w:val="both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1B75DF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Перечень лекарственных препаратов, применяемый при отпуске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  <w:proofErr w:type="gramEnd"/>
    </w:p>
    <w:p w:rsidR="001B75DF" w:rsidRPr="001B75DF" w:rsidRDefault="001B75DF" w:rsidP="001B75DF">
      <w:pPr>
        <w:widowControl w:val="0"/>
        <w:tabs>
          <w:tab w:val="left" w:pos="2498"/>
        </w:tabs>
        <w:spacing w:after="0" w:line="298" w:lineRule="exact"/>
        <w:ind w:right="-1" w:firstLine="851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3974"/>
        <w:gridCol w:w="2405"/>
        <w:gridCol w:w="2981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Код АТХ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Лекарственные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Лекарственные формы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пищеварительный тракт и обмен веществ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А02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А02В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гастроэзофагеальной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рефлюксной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болезни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А02ВА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блокаторы Н2-гистаминовых рецепторов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ранитидин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фамотидин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А02ВС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ингибиторы протонного насоса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омепразол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4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эзомепразол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кишечнорастворимые;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кишечнорастворимые;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кишечнорастворимые, покрытые пленочной оболочкой; таблетки, покрытые кишечнорастворимой пленочной оболочкой; таблетки, покрытые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А02ВХ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другие препараты для лечения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язвенной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висмута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трикалия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</w:t>
            </w:r>
          </w:p>
        </w:tc>
      </w:tr>
    </w:tbl>
    <w:p w:rsidR="001B75DF" w:rsidRPr="001B75DF" w:rsidRDefault="001B75DF" w:rsidP="001B75DF">
      <w:pPr>
        <w:framePr w:w="1062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3979"/>
        <w:gridCol w:w="2400"/>
        <w:gridCol w:w="2986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болезни желудка и двенадцатиперстной кишки 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гастроэзофагеальной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рефлюксной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болезни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дицитрат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АОЗ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АОЗА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1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АОЗАА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мебеверин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 пролонгированного действия;</w:t>
            </w:r>
          </w:p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платифиллин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подкожного введения; 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A03AD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папаверин и его производные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дротаверин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A03F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стимуляторы моторики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желудочно- кишечного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тракта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A03FA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стимуляторы моторики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желудочно- кишечного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тракта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метоклопрамид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приема внутрь; 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А04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противорвотные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 04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противорвотные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1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А04АА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блокаторы серотониновых 5НТ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З-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рецепторов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ондансетрон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сироп;</w:t>
            </w:r>
          </w:p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суппозитории ректальные; таблетки; таблетки</w:t>
            </w:r>
          </w:p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лиофилизированные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; таблетки, покрытые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А05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А05А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А05АА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желчных кислот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урсодезоксихолевая</w:t>
            </w:r>
            <w:proofErr w:type="spellEnd"/>
          </w:p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кислота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суспензия для приема внутрь; таблетки, покрытые</w:t>
            </w:r>
          </w:p>
        </w:tc>
      </w:tr>
    </w:tbl>
    <w:p w:rsidR="001B75DF" w:rsidRPr="001B75DF" w:rsidRDefault="001B75DF" w:rsidP="001B75DF">
      <w:pPr>
        <w:framePr w:w="1062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3979"/>
        <w:gridCol w:w="2400"/>
        <w:gridCol w:w="2981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А05В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липотропные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А05ВА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фосфолипиды +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глицирризиновая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А06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слабительные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А06А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слабительные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8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А06АВ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контактные слабительные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бисакодил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сеннозиды</w:t>
            </w:r>
            <w:proofErr w:type="spellEnd"/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и 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A06AD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осмотические слабительные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лактулоза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сироп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8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макрогол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[для детей]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А07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противодиарейные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А07В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адсорбирующие кишечные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А07ВС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смектит</w:t>
            </w:r>
            <w:proofErr w:type="spellEnd"/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A07D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A07DA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лоперамид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для рассасывания; таблетки жевательные; таблетки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лиофилизированные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;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таблетки-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А07Е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А07ЕС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аминосалициловая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сульфасалазин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кишечнорастворимой оболочкой; таблетки</w:t>
            </w:r>
          </w:p>
        </w:tc>
      </w:tr>
    </w:tbl>
    <w:p w:rsidR="001B75DF" w:rsidRPr="001B75DF" w:rsidRDefault="001B75DF" w:rsidP="001B75DF">
      <w:pPr>
        <w:framePr w:w="1062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3979"/>
        <w:gridCol w:w="2405"/>
        <w:gridCol w:w="2986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кишечнорастворимые, покрытые пленочной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месалазин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</w:t>
            </w:r>
          </w:p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A07F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противодиарейные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микроорганизмы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A07FA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противодиарейные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микроорганизмы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бифидобактерии</w:t>
            </w:r>
            <w:proofErr w:type="spellEnd"/>
          </w:p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бифидум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капсулы;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приема внутрь и местного применения;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А09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А09А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А09АА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ферментные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панкреатин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гранулы</w:t>
            </w:r>
          </w:p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кишечнорастворимые;</w:t>
            </w:r>
          </w:p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кишечнорастворимые; таблетки, покрытые кишечнорастворимой</w:t>
            </w:r>
            <w:proofErr w:type="gramEnd"/>
          </w:p>
        </w:tc>
      </w:tr>
    </w:tbl>
    <w:p w:rsidR="001B75DF" w:rsidRPr="001B75DF" w:rsidRDefault="001B75DF" w:rsidP="001B75DF">
      <w:pPr>
        <w:framePr w:w="1062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3979"/>
        <w:gridCol w:w="2400"/>
        <w:gridCol w:w="2986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оболочкой; таблетки, покрытые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A10A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инсулины и их аналоги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AlOAB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инсулин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аспарт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подкожного и внутривенного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инсулин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глулизин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инсулин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лизпро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внутривенного и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инсулин растворимый (человеческий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генно- инженерный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инъекций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AiOAC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инсулин-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изофан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(человеческий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генно- инженерный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суспензия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AlOAD</w:t>
            </w:r>
            <w:proofErr w:type="spellEnd"/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инсулин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аспарт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двухфазный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суспензия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инсулин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деглудек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+ инсулин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аспарт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инсулин двухфазный (человеческий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генно- инженерный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суспензия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инсулин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лизпро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двухфазный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суспензия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AlOAE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инсулин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гларгин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инсулин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деглудек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инсулин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детемир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AlOB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AlOBA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бигуаниды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метформин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18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кишечнорастворимой оболочкой; таблетки, покрытые оболочкой; таблетки, покрытые пленочной оболочкой;</w:t>
            </w:r>
          </w:p>
        </w:tc>
      </w:tr>
    </w:tbl>
    <w:p w:rsidR="001B75DF" w:rsidRPr="001B75DF" w:rsidRDefault="001B75DF" w:rsidP="001B75DF">
      <w:pPr>
        <w:framePr w:w="1061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3979"/>
        <w:gridCol w:w="2400"/>
        <w:gridCol w:w="2981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действия;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действия, покрытые оболочкой;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действия, покрытые пленочной оболочкой; таблетки с пролонгированным высвобождением;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А10ВВ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глибенкламид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7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гликлазид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действия; таблетки с модифицированным высвобождением;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с пролонгированным высвобождением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A10BH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алоглиптин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вилдаглиптин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линаглиптин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саксаглиптин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ситаглиптин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AlOBJ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аналоги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глюкагоноподобного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пептида-1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ликсисенатид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AlOBK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ингибиторы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натрийзависимого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переносчика глюкозы 2 типа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дапаглифлозин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эмпаглифлозин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AlOBX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репаглинид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All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витамины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A11C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витамины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D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 xml:space="preserve">, 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включая их комбинации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1B75DF" w:rsidRPr="001B75DF" w:rsidRDefault="001B75DF" w:rsidP="001B75DF">
      <w:pPr>
        <w:framePr w:w="1062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3979"/>
        <w:gridCol w:w="2400"/>
        <w:gridCol w:w="2986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lastRenderedPageBreak/>
              <w:t>А11СА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витамин 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ретинол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драже;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капли для приема внутрь и наружного применения; капсулы;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мазь для наружного применения;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ind w:left="20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приема внутрь;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приема внутрь (масляный);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приема внутрь и наружного применения;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4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A11CC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витамин 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D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 xml:space="preserve"> 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 его аналоги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капли для приема внутрь; капсулы;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приема внутрь [в масле];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кальцитриол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капли для приема внутрь; раствор для приема внутрь [масляный]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A11D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витамин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В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 xml:space="preserve"> 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и его комбинации с витаминами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Bj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A11DA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витамин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В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тиамин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раствор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для</w:t>
            </w:r>
            <w:proofErr w:type="gramEnd"/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before="60" w:after="0" w:line="220" w:lineRule="exact"/>
              <w:ind w:left="20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внутримышечного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A11G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A11GA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аскорбиновая кислота (витамин С)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аскорбиновая кислота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драже;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капли для приема внутрь; капсулы пролонгированного действия;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порошок для приготовления раствора для приема внутрь; порошок для приема внутрь; 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A11H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витаминные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А11НА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витаминные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пиридоксин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инъекций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A12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минеральные добавки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A12A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кальция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A12AA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кальция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кальция глюконат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A12C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минеральные добавки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A12CX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минеральные вещества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калия и магния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</w:tc>
      </w:tr>
    </w:tbl>
    <w:p w:rsidR="001B75DF" w:rsidRPr="001B75DF" w:rsidRDefault="001B75DF" w:rsidP="001B75DF">
      <w:pPr>
        <w:framePr w:w="1062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3979"/>
        <w:gridCol w:w="2405"/>
        <w:gridCol w:w="2981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аспарагинат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А14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А14А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анаболические стероиды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А14АВ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эстрена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нандролон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раствор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для</w:t>
            </w:r>
            <w:proofErr w:type="gramEnd"/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внутримышечного введения [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масляный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]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А16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ind w:left="300" w:firstLine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А16А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ind w:left="300" w:firstLine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А16АА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аминокислоты и их производные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адеметионин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кишечнорастворимые;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А16АВ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ферментные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идурсульфаза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ларонидаза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А16АХ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ind w:left="300" w:firstLine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тиоктовая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кислота &lt;*&gt;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кровь и система кроветворения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антитромботические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BOIA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антитромботические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BOIAA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антагонисты витамина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К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варфарин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BOIAB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группа гепарина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гепарин натрия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внутривенного и подкожного введения; раствор для инъекций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  <w:jc w:val="center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эноксапарин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натрия &lt;*&gt;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инъекций; раствор для подкожного введения</w:t>
            </w:r>
          </w:p>
        </w:tc>
      </w:tr>
    </w:tbl>
    <w:p w:rsidR="001B75DF" w:rsidRPr="001B75DF" w:rsidRDefault="001B75DF" w:rsidP="001B75DF">
      <w:pPr>
        <w:framePr w:w="1062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3974"/>
        <w:gridCol w:w="2400"/>
        <w:gridCol w:w="2986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В01АС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антиагреганты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, кроме гепарина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клопидогрел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тикагрелор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BOIAE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прямые ингибиторы тромбина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дабигатрана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этексилат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BOIAF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прямые ингибиторы фактора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Х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апиксабан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ривароксабан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B02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гемостатические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B02B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витамин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К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и другие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гемостатики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B02BA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витамин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К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менадиона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натрия бисульфит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раствор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для</w:t>
            </w:r>
            <w:proofErr w:type="gramEnd"/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before="120" w:after="0" w:line="220" w:lineRule="exact"/>
              <w:ind w:left="18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внутримышечного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B02BX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другие системные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гемостатики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ромиплостим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элтромбопаг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этамзилат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ВОЗ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антианемические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B03A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железа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B03AB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железа [III] гидроксид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полимальтозат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капли для приема внутрь; раствор для приема внутрь; сироп;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жевательные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ВОЗАС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железа [III] гидроксида сахарозный комплекс &lt;*&gt;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внутривенного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ВОЗВ</w:t>
            </w:r>
            <w:proofErr w:type="gram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витамин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В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vertAlign w:val="subscript"/>
                <w:lang w:eastAsia="ru-RU"/>
              </w:rPr>
              <w:t>]2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и фолиевая кислота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B03BA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витамин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В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и (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цианокобаламин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и его аналоги)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инъекций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ВОЗВВ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фолиевая кислота и ее производные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фолиевая кислота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B03X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антианемические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ВОЗХА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антианемические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дарбэпоэтин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альфа &lt;*&gt;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инъекций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  <w:jc w:val="center"/>
        </w:trPr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метоксиполиэтиленглик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оль-эпоэтин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бета &lt;*&gt;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внутривенного и подкожного введения</w:t>
            </w:r>
          </w:p>
        </w:tc>
      </w:tr>
    </w:tbl>
    <w:p w:rsidR="001B75DF" w:rsidRPr="001B75DF" w:rsidRDefault="001B75DF" w:rsidP="001B75DF">
      <w:pPr>
        <w:framePr w:w="1062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3979"/>
        <w:gridCol w:w="2405"/>
        <w:gridCol w:w="2981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эпоэтин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альфа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внутривенного и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6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эпоэтин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бета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внутривенного и подкожного введения;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подкожного введения; раствор для внутривенного и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сердечно-сосудистая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система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COIA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сердечные гликозиды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COIAA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гликозиды наперстянки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дигоксин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[для детей]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en-US"/>
              </w:rPr>
              <w:t>com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COIBA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антиаритмические препараты, класс 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прокаинамид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COIBC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антиаритмические препараты, класс 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1C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пропафенон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C01BD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антиаритмические препараты, класс III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амиодарон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COIBG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лаппаконитина</w:t>
            </w:r>
            <w:proofErr w:type="spellEnd"/>
          </w:p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гидробромид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en-US"/>
              </w:rPr>
              <w:t>com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COIDA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органические нитраты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изосорбида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динитрат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спрей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дозированный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; спрей подъязычный дозированный; таблетки;</w:t>
            </w:r>
          </w:p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9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изосорбида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мононитрат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капсулы пролонгированного действия; капсулы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ретард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;</w:t>
            </w:r>
          </w:p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 с пролонгированным высвобождением; таблетки;</w:t>
            </w:r>
          </w:p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действия;</w:t>
            </w:r>
          </w:p>
          <w:p w:rsidR="001B75DF" w:rsidRPr="001B75DF" w:rsidRDefault="001B75DF" w:rsidP="001B75DF">
            <w:pPr>
              <w:framePr w:w="10627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</w:tbl>
    <w:p w:rsidR="001B75DF" w:rsidRPr="001B75DF" w:rsidRDefault="001B75DF" w:rsidP="001B75DF">
      <w:pPr>
        <w:framePr w:w="1062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3979"/>
        <w:gridCol w:w="2400"/>
        <w:gridCol w:w="3010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нитроглицерин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аэрозоль подъязычный дозированный; капсулы подъязычные; пленки для наклеивания на десну;</w:t>
            </w:r>
          </w:p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спрей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подъязычный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дозированный; таблетки подъязычные; таблетки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сублингвальные</w:t>
            </w:r>
            <w:proofErr w:type="spell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en-US"/>
              </w:rPr>
              <w:t>com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COIEB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ивабрадин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мельдоний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антигипертензивные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C02A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антиадренергические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C02AB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метилдопа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метилдопа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C02AC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агонисты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имидазолиновых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рецепторов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клонидин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  <w:jc w:val="center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моксонидин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C02C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антиадренергические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4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C02CA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альфа-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доксазозин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урапидил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 пролонгированного действия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C02K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другие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антигипертензивные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C02KX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антигипертензивные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амбризентан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бозентан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  <w:jc w:val="center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риоцигуат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СОЗ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диуретики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C03A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тиазидные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диуретики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СОЗАА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тиазиды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</w:tbl>
    <w:p w:rsidR="001B75DF" w:rsidRPr="001B75DF" w:rsidRDefault="001B75DF" w:rsidP="001B75DF">
      <w:pPr>
        <w:framePr w:w="106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3979"/>
        <w:gridCol w:w="2400"/>
        <w:gridCol w:w="2995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созв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тиазидоподобные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диуретики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СОЗВА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сульфонамиды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индапамид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</w:t>
            </w:r>
          </w:p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действия, покрытые пленочной оболочкой; таблетки с контролируемым высвобождением, покрытые пленочной оболочкой;</w:t>
            </w:r>
          </w:p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созс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"петлевые" диуретики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СОЗСА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сульфонамиды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фуросемид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C03D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калийсберегающие диуретики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C03DA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антагонисты альдостерона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спиронолактон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С07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бета-адреноблокаторы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С07А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бета-адреноблокаторы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С07АА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неселективные бета-адреноблокаторы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пропранолол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соталол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С07АВ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селективные бета-адреноблокаторы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атенолол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бисопролол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7"/>
          <w:jc w:val="center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метопролол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таблетки, покрытые пленочной оболочкой; таблетки пролонгированного действия, покрытые пленочной оболочкой; таблетки с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замедленным</w:t>
            </w:r>
            <w:proofErr w:type="gramEnd"/>
          </w:p>
        </w:tc>
      </w:tr>
    </w:tbl>
    <w:p w:rsidR="001B75DF" w:rsidRPr="001B75DF" w:rsidRDefault="001B75DF" w:rsidP="001B75DF">
      <w:pPr>
        <w:framePr w:w="1064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3979"/>
        <w:gridCol w:w="2400"/>
        <w:gridCol w:w="3000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высвобождением, покрытые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C07AG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альф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а-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и бета-адреноблокаторы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карведилол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С08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блокаторы кальциевых каналов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С08С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С08СА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амлодипин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нимодипин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90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нифедипин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действия, покрытые пленочной оболочкой; таблетки с контролируемым высвобождением, покрытые оболочкой;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с модифицированным, высвобождением, покрытые оболочкой; таблетки с модифицированным, высвобождением, покрытые пленочной оболочкой; таблетки с пролонгированным, высвобождением, покрытые оболочкой; таблетки с пролонгированным</w:t>
            </w:r>
            <w:proofErr w:type="gramEnd"/>
          </w:p>
        </w:tc>
      </w:tr>
    </w:tbl>
    <w:p w:rsidR="001B75DF" w:rsidRPr="001B75DF" w:rsidRDefault="001B75DF" w:rsidP="001B75DF">
      <w:pPr>
        <w:framePr w:w="1065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979"/>
        <w:gridCol w:w="2400"/>
        <w:gridCol w:w="3005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высвобождением,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покрытые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C08D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селективные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C08DA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верапамил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С09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средства, действующие на рени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н-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ангиотензиновую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систему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С09А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ингибиторы АПФ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С09АА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ингибиторы АПФ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каптоприл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лизиноприл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4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периндоприл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таблетки,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диспергируемые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в полости рта;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эналаприл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С09С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антагонисты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ангиотензина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II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С09СА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антагонисты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ангиотензина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II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лозартан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C09D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антагонисты рецепторов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ангиотензина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C09DX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антагонисты рецепторов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ангиотензина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валсартан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сакубитрил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СЮ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гиполипидемические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С10А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гиполипидемические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С10АА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ингибиторы ГМГ-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КоА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редуктазы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аторвастатин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</w:t>
            </w:r>
          </w:p>
        </w:tc>
      </w:tr>
    </w:tbl>
    <w:p w:rsidR="001B75DF" w:rsidRPr="001B75DF" w:rsidRDefault="001B75DF" w:rsidP="001B75DF">
      <w:pPr>
        <w:framePr w:w="1066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974"/>
        <w:gridCol w:w="2405"/>
        <w:gridCol w:w="3005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симвастатин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С10АВ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фибраты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фенофибрат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 пролонгированного действия;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C10AX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другие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гиполипидемические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алирокумаб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эволокумаб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дерматологические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DOl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DOl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 xml:space="preserve"> 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DOIAE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салициловая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мазь для наружного применения; раствор для наружного применения [спиртовой]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D06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D06C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диоксометилтетр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гидропиримидин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сульфадиметоксин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тримекаин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хлорамфеникол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мазь для наружного применения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D07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глюкокортикоиды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D07A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D07AC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глюкокортикоиды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мометазон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D08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антисептики и дезинфицирующие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1B75DF" w:rsidRPr="001B75DF" w:rsidRDefault="001B75DF" w:rsidP="001B75DF">
      <w:pPr>
        <w:framePr w:w="1066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979"/>
        <w:gridCol w:w="2405"/>
        <w:gridCol w:w="3000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средства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D08A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 xml:space="preserve">DO 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8 АС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бигуаниды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амидины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хлоргексидин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[спиртовой];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спрей для наружного применения [спиртовой]; суппозитории вагинальные; таблетки вагинальные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D08AG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йода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повидон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-йод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раствор для местного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наружного применения; раствор для наружного применения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DO 8 AX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этанол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Dll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дерматологические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D11A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дерматологические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D11AH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пимекролимус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крем для наружного применения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G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мочеполовая система и половые гормоны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G01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GOIA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GOIAA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антибактериальные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натамицин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суппозитории вагинальные</w:t>
            </w:r>
          </w:p>
        </w:tc>
      </w:tr>
    </w:tbl>
    <w:p w:rsidR="001B75DF" w:rsidRPr="001B75DF" w:rsidRDefault="001B75DF" w:rsidP="001B75DF">
      <w:pPr>
        <w:framePr w:w="1066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979"/>
        <w:gridCol w:w="2405"/>
        <w:gridCol w:w="3000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lastRenderedPageBreak/>
              <w:t>G01AF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производные имидазола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клотримазол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G02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G02C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G02CA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адреномиметики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токолитические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гексопреналин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G02CB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ингибиторы пролактина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бромокриптин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G03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G03B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андрогены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4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G03BA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производные З-оксоандрост-4-ена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тестостерон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гель для наружного применения;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капсулы; раствор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для</w:t>
            </w:r>
            <w:proofErr w:type="gramEnd"/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ind w:left="1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внутримышечного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ind w:left="1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ind w:left="1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тестостерон (смесь эфиров)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раствор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для</w:t>
            </w:r>
            <w:proofErr w:type="gramEnd"/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внутримышечного введения [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масляный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]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G03D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гестагены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G03DA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производные прегн-4-ена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прогестерон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G03DB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прегнадиена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дидрогестерон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G03DC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эстрена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норэтистерон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G03G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G03GA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гонадотропины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гонадотропин хорионический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G03H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антиандрогены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G03HA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антиандрогены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ципротерон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раствор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для</w:t>
            </w:r>
            <w:proofErr w:type="gramEnd"/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внутримышечного введения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масляный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; таблетки</w:t>
            </w:r>
          </w:p>
        </w:tc>
      </w:tr>
    </w:tbl>
    <w:p w:rsidR="001B75DF" w:rsidRPr="001B75DF" w:rsidRDefault="001B75DF" w:rsidP="001B75DF">
      <w:pPr>
        <w:framePr w:w="1066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3979"/>
        <w:gridCol w:w="2405"/>
        <w:gridCol w:w="3005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lastRenderedPageBreak/>
              <w:t>G04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препараты, применяемые в урологии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G04B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препараты, применяемые в урологии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G04BD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солифенацин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G04C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7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G04CA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альфа-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алфузозин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действия, покрытые оболочкой;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4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тамсулозин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кишечнорастворимые пролонгированного действия; капсулы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кишечнорастворимые с пролонгированным высвобождением; капсулы пролонгированного действия; капсулы с'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G04CB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ингибиторы тестостерон-5-альф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а-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редуктазы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финастерид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HOI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HOIA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1B75DF" w:rsidRPr="001B75DF" w:rsidRDefault="001B75DF" w:rsidP="001B75DF">
      <w:pPr>
        <w:framePr w:w="1066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3979"/>
        <w:gridCol w:w="2405"/>
        <w:gridCol w:w="3005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lastRenderedPageBreak/>
              <w:t xml:space="preserve">HOI 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соматропин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и его агонисты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соматропин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нош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гормоны задней доли гипофиза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HOI BA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вазопрессин и его аналоги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десмопрессин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капли назальные; спрей назальный дозированный; таблетки;</w:t>
            </w:r>
          </w:p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таблетки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диспергируемые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в полости рта; таблетки-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; таблетки подъязычные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HOIC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гормоны гипоталамуса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HOICB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соматостатин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и аналоги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ланреотид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октреотид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и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H02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кортикостероиды системного действия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H02A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кортикостероиды системного действия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H02AA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4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H02AB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бетаметазон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крем для наружного применения; мазь для наружного применения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2"/>
          <w:jc w:val="center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гидрокортизон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крем для наружного применения; мазь глазная; мазь для наружного применения; раствор для наружного применения; суспензия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для</w:t>
            </w:r>
            <w:proofErr w:type="gramEnd"/>
          </w:p>
        </w:tc>
      </w:tr>
    </w:tbl>
    <w:p w:rsidR="001B75DF" w:rsidRPr="001B75DF" w:rsidRDefault="001B75DF" w:rsidP="001B75DF">
      <w:pPr>
        <w:framePr w:w="106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3984"/>
        <w:gridCol w:w="2405"/>
        <w:gridCol w:w="3014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внутримышечного и внутрисуставного введения; таблетки;</w:t>
            </w:r>
          </w:p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эмульсия для наружного применения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дексаметазон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преднизолон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мазь для наружного применения; 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ноз</w:t>
            </w:r>
            <w:proofErr w:type="spellEnd"/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НОЗА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щитовидной железы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НОЗАА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гормоны щитовидной железы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левотироксин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натрия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НОЗВ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антитиреоидные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НОЗВВ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серосодержащие производные имидазола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тиамазол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НОЗ С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йода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НОЗСА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йода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калия йодид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жевательные;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НО 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препараты, регулирующие обмен кальция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Н05А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паратиреоидные гормоны и их аналоги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Н05АА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паратиреоидные гормоны и их аналоги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терипаратид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Н05В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антипаратиреоидные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Н05ВА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препараты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кальцитонина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кальцитонин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инъекций; спрей назальный; спрей назальный дозированный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Н05ВХ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прочие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антипаратиреоидные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парикальцитол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цинакалцет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этелкальцетид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внутривенного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1B75DF" w:rsidRPr="001B75DF" w:rsidRDefault="001B75DF" w:rsidP="001B75DF">
      <w:pPr>
        <w:framePr w:w="1068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3979"/>
        <w:gridCol w:w="2400"/>
        <w:gridCol w:w="3000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lastRenderedPageBreak/>
              <w:t>J01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6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JOIA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тетрациклины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JOIAA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тетрациклины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доксициклин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5" w:lineRule="exact"/>
              <w:ind w:left="28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таблетки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диспергируемые</w:t>
            </w:r>
            <w:proofErr w:type="spell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JOIB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амфениколы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JOIBA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амфениколы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хлорамфеникол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JOIG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JO 1GB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другие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тобрамицин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ингаляций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JOIC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бета-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лактамные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JOICA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амоксициллин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гранулы для приготовления суспензии для приема внутрь; капсулы;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порошок для приготовления суспензии для приема внутрь; таблетки;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таблетки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диспергируемые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ампициллин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JOICF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пенициллины, устойчивые к бет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а-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лактамазам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оксациллин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JO ICR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комбинации пенициллинов, включая комбинации с ингибиторами бет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а-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лактамаз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амоксициллин +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клавулановая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порошок для приготовления суспензии для приема внутрь; таблетки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диспергируемые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JOID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бета-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лактамные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JOIDB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цефалоспорины 1-го поколения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цефазолин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порошок для приготовления</w:t>
            </w:r>
          </w:p>
        </w:tc>
      </w:tr>
    </w:tbl>
    <w:p w:rsidR="001B75DF" w:rsidRPr="001B75DF" w:rsidRDefault="001B75DF" w:rsidP="001B75DF">
      <w:pPr>
        <w:framePr w:w="1065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3979"/>
        <w:gridCol w:w="2400"/>
        <w:gridCol w:w="3000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раствора для внутривенного и внутримышечного введения; порошок для приготовления раствора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для</w:t>
            </w:r>
            <w:proofErr w:type="gramEnd"/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внутримышечного введения; порошок для приготовления раствора для инъекций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цефалексин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гранулы для приготовления суспензии для приема внутрь; капсулы;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J01DC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цефалоспорины 2-го поколения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цефуроксим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JOIE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сульфаниламиды 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триметоприм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JOIEE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триметоприма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, включая производные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ко-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тримоксазол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суспензия для приема внутрь; 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JOIF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макролиды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линкозамиды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JOIFA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макролиды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азитромицин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порошок для приготовления суспензии для приема внутрь; порошок для приготовления суспензии для приема внутрь [для детей];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порошок для приготовления суспензии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пролонгированного действия для приема внутрь; таблетки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диспергируемые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; таблетки, покрытые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джозамицин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таблетки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диспергируемые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кларитромицин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гранулы для приготовления суспензии для приема внутрь; капсулы;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порошок для приготовления суспензии для приема внутрь; таблетки, покрытые оболочкой; таблетки, покрытые пленочной оболочкой;</w:t>
            </w:r>
          </w:p>
        </w:tc>
      </w:tr>
    </w:tbl>
    <w:p w:rsidR="001B75DF" w:rsidRPr="001B75DF" w:rsidRDefault="001B75DF" w:rsidP="001B75DF">
      <w:pPr>
        <w:framePr w:w="1065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3979"/>
        <w:gridCol w:w="2405"/>
        <w:gridCol w:w="3000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действия, покрытые оболочкой;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JO IFF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линкозамиды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клиндамицин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J01G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J01M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хинолона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JOIMA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фторхинолоны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гатифлоксацин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левофлоксацин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капли глазные; таблетки, покрытые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ломефлоксацин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моксифлоксацин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офлоксацин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капли глазные; капли глазные и ушные; капли ушные; мазь глазная; таблетки, покрытые оболочкой; - таблетки, покрытые пленочной оболочкой; таблетки пролонгированного действия, покрытые пленочной оболочкой</w:t>
            </w:r>
            <w:proofErr w:type="gram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JOIX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антибактериальные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JOIXD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производные имидазола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метронидазол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</w:t>
            </w:r>
          </w:p>
        </w:tc>
      </w:tr>
    </w:tbl>
    <w:p w:rsidR="001B75DF" w:rsidRPr="001B75DF" w:rsidRDefault="001B75DF" w:rsidP="001B75DF">
      <w:pPr>
        <w:framePr w:w="1065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979"/>
        <w:gridCol w:w="2405"/>
        <w:gridCol w:w="3000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J02A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J02AA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антибиотики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нистатин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J02AC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триазола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вориконазол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флуконазол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порошок для приготовления суспензии для приема внутрь; таблетки;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J04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J04A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противотуберкулезные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J04AK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J05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J05A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J05AB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ацикловир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валганцикловир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ганцикловир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</w:p>
        </w:tc>
      </w:tr>
    </w:tbl>
    <w:p w:rsidR="001B75DF" w:rsidRPr="001B75DF" w:rsidRDefault="001B75DF" w:rsidP="001B75DF">
      <w:pPr>
        <w:framePr w:w="1066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3984"/>
        <w:gridCol w:w="2400"/>
        <w:gridCol w:w="3014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lastRenderedPageBreak/>
              <w:t>J05AF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нуклеозиды и нуклеотиды 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 xml:space="preserve">- 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ингибиторы обратной транскриптазы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тенофовир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энтекавир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J05AH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ингибиторы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осельтамивир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J05AX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прочие противовирусные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имидазолилэтанамид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пентандиовой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кислоты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кагоцел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умифеновир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J06B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иммуноглобулины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J06BA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иммуноглобулин человека нормальный &lt;*&gt;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;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введения;</w:t>
            </w:r>
          </w:p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раствор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L01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противоопухолевые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LOIA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алкилирующие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LOIAA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аналоги азотистого иприта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мелфалан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хлорамбуцил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циклофосфамид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</w:t>
            </w:r>
          </w:p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сахарной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LOIAB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бусульфан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LOIAD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ломустин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LOIAX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другие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алкилирующие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дакарбазин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8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</w:tbl>
    <w:p w:rsidR="001B75DF" w:rsidRPr="001B75DF" w:rsidRDefault="001B75DF" w:rsidP="001B75DF">
      <w:pPr>
        <w:framePr w:w="1068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3984"/>
        <w:gridCol w:w="2400"/>
        <w:gridCol w:w="3005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темозоломид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L01B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антиметаболиты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LOIBA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аналоги фолиевой кислоты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метотрексат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 таблетки, покрытые пленочной оболочкой; раствор для инъекций; раствор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пеметрексед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ралтитрексид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LOIBB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аналоги пурина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меркаптопурин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LOIBC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аналоги пиримидина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капецитабин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LOIC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LOICA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алкалоиды барвинка и их аналоги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винорелбин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капсулы; концентрат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LOICB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этопозид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LOICD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таксаны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доцетаксел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паклитаксел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;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суспензии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LOIX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противоопухолевые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LOIXB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метилгидраз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ины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LOIXC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моноклональные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антитела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бевацизумаб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ланиту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му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маб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</w:p>
        </w:tc>
      </w:tr>
    </w:tbl>
    <w:p w:rsidR="001B75DF" w:rsidRPr="001B75DF" w:rsidRDefault="001B75DF" w:rsidP="001B75DF">
      <w:pPr>
        <w:framePr w:w="1066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979"/>
        <w:gridCol w:w="2400"/>
        <w:gridCol w:w="3005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псртузумаб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ритуксимаб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6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трастузумаб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;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цетуксимаб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раствор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L01XE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ингибиторы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протеинкиназы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асЬатиниб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гесЬитиниб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дазатиниб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иматиниб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ленватиниб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нилотиниб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нинтеданиб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 мягкие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руксолитиниб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сорафениб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сунитиниб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эрлотиниб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LOIXX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прочие противоопухолевые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аспарагиназа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афлиберцепт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гидроксикарбамид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</w:tc>
      </w:tr>
    </w:tbl>
    <w:p w:rsidR="001B75DF" w:rsidRPr="001B75DF" w:rsidRDefault="001B75DF" w:rsidP="001B75DF">
      <w:pPr>
        <w:framePr w:w="1066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3979"/>
        <w:gridCol w:w="2400"/>
        <w:gridCol w:w="3019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третиноин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L02A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гормоны и родственные соединения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L02AB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гестагепы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суспензия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для</w:t>
            </w:r>
            <w:proofErr w:type="gramEnd"/>
          </w:p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внутримышечного введения; 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L02AE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аналоги гонадотропин-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рилизинг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гормона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бусерелин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гозепелин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имплантат;</w:t>
            </w:r>
          </w:p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лейпрорелин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подкожного введения;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трипторелин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подкожного введения;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высвобождением;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L02B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антагонисты гормонов и родственные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1B75DF" w:rsidRPr="001B75DF" w:rsidRDefault="001B75DF" w:rsidP="001B75DF">
      <w:pPr>
        <w:framePr w:w="106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984"/>
        <w:gridCol w:w="2400"/>
        <w:gridCol w:w="3000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соединения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4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L02BA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антиэстрогены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тамоксифен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фулвестрант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раствор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для</w:t>
            </w:r>
            <w:proofErr w:type="gramEnd"/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before="60" w:after="0" w:line="220" w:lineRule="exact"/>
              <w:ind w:left="1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внутримышечного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L02BB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антиандрогены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бикалутамид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флутамид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энзалутамид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L02BG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ингибиторы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ароматазы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анастрозол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L02BX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абиратерон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L03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иммуностимуляторы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L03A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иммуностимуляторы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L03AA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колониестимулирующие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факторы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филграстим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внутривенного и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L03AB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интерфероны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интерферон альфа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внутримышечного и подкожного введения;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субконъюнктивального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введения и закапывания в глаз;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инъекций;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субконъюнктивального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введения и закапывания в глаз;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инъекций; раствор для внутривенного и подкожного введения; раствор для подкожного введения</w:t>
            </w:r>
          </w:p>
        </w:tc>
      </w:tr>
    </w:tbl>
    <w:p w:rsidR="001B75DF" w:rsidRPr="001B75DF" w:rsidRDefault="001B75DF" w:rsidP="001B75DF">
      <w:pPr>
        <w:framePr w:w="1066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974"/>
        <w:gridCol w:w="2410"/>
        <w:gridCol w:w="3000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пэгинтерферон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альфа- 2а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пэгинтерферон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альфа- 2Ь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L04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иммунодепрессанты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L04A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иммунодепрессанты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L04AA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селективные иммунодепрессанты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абатацепт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;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; раствор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апремиласт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4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ведолизумаб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лефлуномид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микофенолата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мофетил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микофеноловая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кишечнорастворимой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натализумаб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тофацитиниб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финголимод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эверолимус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таблетки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диспергируемые</w:t>
            </w:r>
            <w:proofErr w:type="spell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экулизумаб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L04AB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адалимумаб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подкожного введения</w:t>
            </w:r>
          </w:p>
        </w:tc>
      </w:tr>
    </w:tbl>
    <w:p w:rsidR="001B75DF" w:rsidRPr="001B75DF" w:rsidRDefault="001B75DF" w:rsidP="001B75DF">
      <w:pPr>
        <w:framePr w:w="1066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3979"/>
        <w:gridCol w:w="2405"/>
        <w:gridCol w:w="2995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голимумаб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7"/>
          <w:jc w:val="center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инсЬликсимаб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;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цертолизумаба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пэгол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9"/>
          <w:jc w:val="center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этанерцепт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L04AC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ингибиторы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интерлейкина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канакинумаб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8"/>
          <w:jc w:val="center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секукинумаб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9"/>
          <w:jc w:val="center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тоцилизумаб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;</w:t>
            </w:r>
          </w:p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  <w:jc w:val="center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устекинумаб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L04AD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ингибиторы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кальциневрина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такролимус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 пролонгированного действия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циклоспорин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 капсулы мягкие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L04AX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иммунодепрессанты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азатиоприн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...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пирфенидон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костно-мышечная система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М01А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MOIAB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производные уксусной кислоты 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диклофенак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4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капли глазные;</w:t>
            </w:r>
          </w:p>
        </w:tc>
      </w:tr>
    </w:tbl>
    <w:p w:rsidR="001B75DF" w:rsidRPr="001B75DF" w:rsidRDefault="001B75DF" w:rsidP="001B75DF">
      <w:pPr>
        <w:framePr w:w="1064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974"/>
        <w:gridCol w:w="2405"/>
        <w:gridCol w:w="3000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родственные соединения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кишечнорастворимые; капсулы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модифицированным высвобождением; раствор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для</w:t>
            </w:r>
            <w:proofErr w:type="gramEnd"/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</w:t>
            </w:r>
            <w:proofErr w:type="gramEnd"/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действия;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действия, покрытые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кишечнорастворимой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оболочкой;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действия, покрытые оболочкой;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кеторолак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М01АЕ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пропионовой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кислоты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ибупрофен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гель для наружного применения;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гранулы для приготовления раствора для приема внутрь; капсулы;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крем для наружного применения; мазь для наружного применения;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внутривенного введения;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суппозитории ректальные; суппозитории ректальные [для детей];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суспензия для приема внутрь; суспензия для приема внутрь</w:t>
            </w:r>
          </w:p>
        </w:tc>
      </w:tr>
    </w:tbl>
    <w:p w:rsidR="001B75DF" w:rsidRPr="001B75DF" w:rsidRDefault="001B75DF" w:rsidP="001B75DF">
      <w:pPr>
        <w:framePr w:w="1065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979"/>
        <w:gridCol w:w="2405"/>
        <w:gridCol w:w="3000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(для детей); таблетки, покрытые оболочкой; таблетки, покрытые пленочной оболочкой; таблетки пролонгированного действия, покрытые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кетопрофен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капсулы пролонгированного действия; капсулы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модифицированным высвобождением; суппозитории ректальные; суппозитории ректальные [для детей]; таблетки;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М01С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MO ICC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пеницилламин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и подобные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пеницилламин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30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  <w:lang w:eastAsia="ru-RU"/>
              </w:rPr>
              <w:t>моз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миорелаксанты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МОЗА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миорелаксанты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периферического действия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МОЗАХ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другие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миорелаксанты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периферического действия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ботулинический токсин типа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ботулинический токсин типа А-гемагглютинин комплекс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30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  <w:lang w:eastAsia="ru-RU"/>
              </w:rPr>
              <w:t>мозв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миорелаксанты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центрального действия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30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  <w:lang w:eastAsia="ru-RU"/>
              </w:rPr>
              <w:t>мозвх</w:t>
            </w:r>
            <w:proofErr w:type="spellEnd"/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другие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миорелаксанты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центрального действия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баклофен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9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тизанидин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капсулы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модифицированным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высвобождением;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</w:tbl>
    <w:p w:rsidR="001B75DF" w:rsidRPr="001B75DF" w:rsidRDefault="001B75DF" w:rsidP="001B75DF">
      <w:pPr>
        <w:framePr w:w="1066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3984"/>
        <w:gridCol w:w="2400"/>
        <w:gridCol w:w="3000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lastRenderedPageBreak/>
              <w:t>М04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противоподагрические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М04А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противоподагрические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М04АА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аллопуринол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М05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М05В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М05ВА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бифосфонаты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алендроновая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2"/>
          <w:jc w:val="center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золедроновая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кислота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;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раствор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инфузий</w:t>
            </w:r>
            <w:proofErr w:type="spell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М05ВХ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деносумаб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нервная система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анестетики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N01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для общей анестезии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 xml:space="preserve">N01 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опиоидные анальгетики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тримеперидин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инъекций; 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анальгетики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N02A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опиоиды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N02AA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природные алкалоиды опия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морфин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 пролонгированного действия;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инъекций; раствор для подкожного введения;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действия, покрытые оболочкой;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действия,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покрытые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налоксон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оксикодон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действия, покрытые</w:t>
            </w:r>
          </w:p>
        </w:tc>
      </w:tr>
    </w:tbl>
    <w:p w:rsidR="001B75DF" w:rsidRPr="001B75DF" w:rsidRDefault="001B75DF" w:rsidP="001B75DF">
      <w:pPr>
        <w:framePr w:w="1065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979"/>
        <w:gridCol w:w="2405"/>
        <w:gridCol w:w="3000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пленочной оболочкой; таблетки с пролонгированным высвобождением,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 xml:space="preserve">N02 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фентанил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трансдермальная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терапевтическая система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N02AE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орипавина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бупренорфин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инъекций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N02AX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другие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опиоиды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пропионилфенил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before="60" w:after="0" w:line="220" w:lineRule="exact"/>
              <w:ind w:left="18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этоксиэтилпиперидин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защечные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трамадол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инъекций; суппозитории ректальные; таблетки;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N02B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анальгетики и антипиретики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N02BA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салициловая кислота и ее производные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ацетилсалициловая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кислота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кишечнорастворимые, покрытые оболочкой; таблетки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N02BE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анилиды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парацетамол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гранулы для приготовления суспензии для приема внутрь; сироп;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сироп [для детей]; суппозитории ректальные; суппозитории ректальные [для детей];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суспензия для приема внутрь; суспензия для приема внутрь [для детей]; таблетки;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</w:tbl>
    <w:p w:rsidR="001B75DF" w:rsidRPr="001B75DF" w:rsidRDefault="001B75DF" w:rsidP="001B75DF">
      <w:pPr>
        <w:framePr w:w="1066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3979"/>
        <w:gridCol w:w="2405"/>
        <w:gridCol w:w="3000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lastRenderedPageBreak/>
              <w:t>N03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противоэпилептические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 xml:space="preserve">N03 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противоэпилептические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N03AA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барбитураты и их производные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бензобарбитал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фенобарбитал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[для детей]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 xml:space="preserve">N03 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гидантоина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фенитоин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N03AD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сукцинимида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этосуксимид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N03AE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клоназепам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N03AF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карбоксамида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карбамазепин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сироп;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действия;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действия, покрытые оболочкой;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  <w:jc w:val="center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окскарбазепин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N03AG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производные жирных кислот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вальпроевая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кислота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гранулы пролонгированного действия;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гранулы с пролонгированным высвобождением; капли для приема внутрь; капсулы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кишечнорастворимые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; раствор для приема внутрь; сироп;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сироп [для детей]; таблетки;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кишечнорастворимой оболочкой;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действия, покрытые оболочкой;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действия, покрытые пленочной оболочкой; таблетки с ' пролонгированным высвобождением,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 xml:space="preserve">N03 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АХ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лакосамид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</w:tbl>
    <w:p w:rsidR="001B75DF" w:rsidRPr="001B75DF" w:rsidRDefault="001B75DF" w:rsidP="001B75DF">
      <w:pPr>
        <w:framePr w:w="1065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3979"/>
        <w:gridCol w:w="2400"/>
        <w:gridCol w:w="3000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ламотриджин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леветирацетам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приема внутрь;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перампанел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4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топирамат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противопаркинсонические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 xml:space="preserve">N04 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антихолинергические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 xml:space="preserve">N04 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третичные амины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бипериден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N04B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дофаминергические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8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N04BA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допа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и ее производные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леводопа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бенсеразид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капсулы; капсулы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модифицированным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высвобождением;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ind w:left="2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таблетки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диспергируемые</w:t>
            </w:r>
            <w:proofErr w:type="spell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ind w:left="2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ind w:left="2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леводопа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карбидопа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N04BB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адамантана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амантадин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8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N04BC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агонисты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дофаминовых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рецепторов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пирибедил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с контролируемым высвобождением, покрытые оболочкой;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прамипексол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пролонгированного действия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психотропные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N05A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антипсихотические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N05AA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алифатические 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фснотиазина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хлорпромазин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драже;</w:t>
            </w:r>
          </w:p>
        </w:tc>
      </w:tr>
    </w:tbl>
    <w:p w:rsidR="001B75DF" w:rsidRPr="001B75DF" w:rsidRDefault="001B75DF" w:rsidP="001B75DF">
      <w:pPr>
        <w:framePr w:w="1065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3984"/>
        <w:gridCol w:w="2400"/>
        <w:gridCol w:w="3005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N05AB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пиперазиновые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фенотиазина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перфеназин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флуфеназин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раствор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для</w:t>
            </w:r>
            <w:proofErr w:type="gramEnd"/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внутримышечного введения [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масляный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]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N05C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пиперидиновые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фенотиазина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перициазин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приема внутрь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4"/>
          <w:jc w:val="center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тиоридазин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N05AD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бутирофенона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галоперидол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капли для приема внутрь; раствор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для</w:t>
            </w:r>
            <w:proofErr w:type="gramEnd"/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внутримышечного введения [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масляный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]; 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N05AF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тиоксантена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зуклопентиксол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раствор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для</w:t>
            </w:r>
            <w:proofErr w:type="gramEnd"/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внутримышечного введения [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масляный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];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9"/>
          <w:jc w:val="center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флупентиксол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раствор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для</w:t>
            </w:r>
            <w:proofErr w:type="gramEnd"/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внутримышечного введения [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масляный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]; таблетки, покрытые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N05AH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диазепины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оксазепины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тиазепины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оксепины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кветиапин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3"/>
          <w:jc w:val="center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оланзапин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таблетки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диспергируемые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; таблетки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диспергируемые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в полости рта;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для рассасывания;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N05AL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бензамиды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сульпирид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приема внутрь; таблетки;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</w:tbl>
    <w:p w:rsidR="001B75DF" w:rsidRPr="001B75DF" w:rsidRDefault="001B75DF" w:rsidP="001B75DF">
      <w:pPr>
        <w:framePr w:w="1066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979"/>
        <w:gridCol w:w="2400"/>
        <w:gridCol w:w="3005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lastRenderedPageBreak/>
              <w:t>N05AX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антипсихотические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палиперидон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суспензия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для</w:t>
            </w:r>
            <w:proofErr w:type="gramEnd"/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рисперидон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порошок для приготовления суспензии для внутримышечного введения пролонгированного действия; раствор для приема внутрь; таблетки;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таблетки,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диспергируемые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в полости рта;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для рассасывания; таблетки, покрытые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N05B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анксиолитики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N05BA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бромдигидрохлор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before="60" w:after="0" w:line="220" w:lineRule="exact"/>
              <w:ind w:left="22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фенилбензодиазепин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диазепам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лоразепам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оксазепам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N05BB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дифенилметана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гидроксизин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N05C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снотворные и седативные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N05CD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нитразепам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N05CF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бензодиазепиноподобные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зопиклон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психоаналептики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N06A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антидепрессанты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N06AA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амитриптилин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 пролонгированного действия; таблетки;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</w:tbl>
    <w:p w:rsidR="001B75DF" w:rsidRPr="001B75DF" w:rsidRDefault="001B75DF" w:rsidP="001B75DF">
      <w:pPr>
        <w:framePr w:w="1066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979"/>
        <w:gridCol w:w="2400"/>
        <w:gridCol w:w="3005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имипрамин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драже;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8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кломипрамин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N06AB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пароксетин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сертралин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флуоксетин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N06AX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антидепрессанты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агомелатин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пипофезин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полипептиды коры головного мозга скота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N06B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психостимуляторы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гиперактивностью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, 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ноотропные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N06BX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другие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психостимуляторы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ноотропные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винпоцетин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8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пирацетам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приема внутрь; таблетки, покрытые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фонтурацетам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</w:tbl>
    <w:p w:rsidR="001B75DF" w:rsidRPr="001B75DF" w:rsidRDefault="001B75DF" w:rsidP="001B75DF">
      <w:pPr>
        <w:framePr w:w="1066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3984"/>
        <w:gridCol w:w="2400"/>
        <w:gridCol w:w="3005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церебролизин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инъекций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N06D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для лечения деменции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3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N06DA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антихолинэстеразные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галантамин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 пролонгированного действия; таблетки;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4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ривастигмин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капсулы;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трансдермальная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терапевтическая система; раствор для приема внутрь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N06DX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препараты для лечения деменции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мемантин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N07A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N07AA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антихолинэстеразные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неостигмина</w:t>
            </w:r>
            <w:proofErr w:type="spellEnd"/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метилсульфат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пиридостигмина</w:t>
            </w:r>
            <w:proofErr w:type="spellEnd"/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бромид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N07AX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прочие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холина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альфосцерат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приема внутрь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N07C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N07CA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бетагистин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капли для приема внутрь; капсулы; 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N07X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N07XX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ind w:left="400" w:hanging="40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инозин +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никотинамид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кишечнорастворимой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9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этилметилгидрокс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пиридина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сукцинат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Р01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противопротозойные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Р01В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противомалярийные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1B75DF" w:rsidRPr="001B75DF" w:rsidRDefault="001B75DF" w:rsidP="001B75DF">
      <w:pPr>
        <w:framePr w:w="1066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3979"/>
        <w:gridCol w:w="2405"/>
        <w:gridCol w:w="3000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lastRenderedPageBreak/>
              <w:t>РОША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аминохинолины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гидроксихлорохин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противогельминтные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Р02В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для лечения трематодоза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Р02С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препараты для лечения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нематодоза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Р02СА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бензимидазола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мебендазол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Р02СС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тетрагидропиримидина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R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дыхательная система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ROl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назальные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R01A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деконгестанты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ROIAA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гель назальный; капли назальные; капли назальные [для детей]; спрей назальный; спрей назальный дозированный; спрей назальный дозированный [для детей]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R02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R02A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R02AA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антисептические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йод + калия йодид +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глицерол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R03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препараты для лечения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обструктивных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R03A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R03AC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селективные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бета 2-адреномиметики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индакатерол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 с порошком для ингаляций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сальбутамол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аэрозоль для ингаляций дозированный; аэрозоль для ингаляций дозированный, активируемый вдохом;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 для ингаляций; капсулы с порошком для ингаляций;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порошок для ингаляций дозированный;</w:t>
            </w:r>
          </w:p>
        </w:tc>
      </w:tr>
    </w:tbl>
    <w:p w:rsidR="001B75DF" w:rsidRPr="001B75DF" w:rsidRDefault="001B75DF" w:rsidP="001B75DF">
      <w:pPr>
        <w:framePr w:w="1065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3974"/>
        <w:gridCol w:w="2405"/>
        <w:gridCol w:w="3010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ингаляций; таблетки пролонгированного действия, покрытые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формотерол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аэрозоль для ингаляций дозированный; капсулы с порошком для ингаляций;</w:t>
            </w:r>
          </w:p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порошок для ингаляций дозированный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R03AK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глюкокортикоидами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беклометазон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формотерол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аэрозоль для ингаляций дозированный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4"/>
          <w:jc w:val="center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будесонид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формотерол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 с порошком для ингаляций набор; порошок для ингаляций дозированный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вилантерол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флутиказона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фуроат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порошок для ингаляций дозированный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3"/>
          <w:jc w:val="center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салметерол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флутиказон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аэрозоль для ингаляций дозированный; капсулы с порошком для ингаляций;</w:t>
            </w:r>
          </w:p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порошок для ингаляций дозированный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R03AL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вилантерол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умеклидиния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бромид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порошок для ингаляций дозированный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гликопиррония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бромид +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индакатерол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 с порошком для ингаляций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ипратропия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бромид + фенотерол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аэрозоль для ингаляций дозированный; раствор для </w:t>
            </w:r>
            <w:proofErr w:type="spellStart"/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ингал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яций</w:t>
            </w:r>
            <w:proofErr w:type="spellEnd"/>
            <w:proofErr w:type="gramEnd"/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  <w:jc w:val="center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олодатерол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+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тиотропия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бромид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ингаляций дозированный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R03B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другие средства для лечения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обструктивных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R03BA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беклометазон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аэрозоль для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ингатаций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дозированный; аэрозоль для ингаляций дозированный, активируемый вдохом;</w:t>
            </w:r>
          </w:p>
          <w:p w:rsidR="001B75DF" w:rsidRPr="001B75DF" w:rsidRDefault="001B75DF" w:rsidP="001B75DF">
            <w:pPr>
              <w:framePr w:w="10670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аэрозоль назальный дозированный; спрей назальный дозированный; суспензия для ингаляций</w:t>
            </w:r>
          </w:p>
        </w:tc>
      </w:tr>
    </w:tbl>
    <w:p w:rsidR="001B75DF" w:rsidRPr="001B75DF" w:rsidRDefault="001B75DF" w:rsidP="001B75DF">
      <w:pPr>
        <w:framePr w:w="106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3974"/>
        <w:gridCol w:w="2405"/>
        <w:gridCol w:w="3000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будесонид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аэрозоль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ингаляций дозированный; капли назальные; капсулы; капсулы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кишечнорастворимые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R03BB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антихолинергические средства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гликопиррония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бромид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 с порошком для ингаляций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ипратропия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бромид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тиотропия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бромид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 с порошком для ингаляций;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ингаляций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R03BC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кромоглициевая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кислота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аэрозоль для ингаляций дозированный; капсулы; спрей назальный; спрей назальный дозированный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R03D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обструктивных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R03DA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ксантины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аминофиллин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R03DX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обструктивных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омализумаб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лиофилизат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1"/>
          <w:jc w:val="center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фенспирид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сироп;</w:t>
            </w:r>
          </w:p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R05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1B75DF" w:rsidRPr="001B75DF" w:rsidRDefault="001B75DF" w:rsidP="001B75DF">
      <w:pPr>
        <w:framePr w:w="1065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974"/>
        <w:gridCol w:w="2405"/>
        <w:gridCol w:w="3005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lastRenderedPageBreak/>
              <w:t>R05C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5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R05CB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муколитические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амброксол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 пролонгированного действия; пастилки;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раствор для приема внутрь; раствор 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для 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приема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Енутфь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 </w:t>
            </w: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ингаляций;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сироп;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таблетки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диспергируемые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; таблетки для рассасывания; таблетки шипучие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6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ацетилцистеин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гранулы для приготовления раствора для приема внутрь; гранулы для приготовления сиропа;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порошок для приготовления раствора для приема внутрь; раствор для инъекций и ингаляций;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приема внутрь; сироп; таблетки; таблетки шипучие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R06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R06A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R06AA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эфиры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алкиламинов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дифенгидрамин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R06AC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замещенные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этилендиамины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хлоропирамин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R06AE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производные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пиперазина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цетиризин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капли для приема внутрь; сироп;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R06AX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лоратадин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сироп;</w:t>
            </w:r>
          </w:p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суспензия для приема внутрь; 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органы чувств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SOI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офтальмологические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SOIA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противомикробные препараты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SOIAA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антибиотики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тетрациклин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6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мазь глазная</w:t>
            </w:r>
          </w:p>
        </w:tc>
      </w:tr>
    </w:tbl>
    <w:p w:rsidR="001B75DF" w:rsidRPr="001B75DF" w:rsidRDefault="001B75DF" w:rsidP="001B75DF">
      <w:pPr>
        <w:framePr w:w="1066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3984"/>
        <w:gridCol w:w="2400"/>
        <w:gridCol w:w="3000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lastRenderedPageBreak/>
              <w:t>S01E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9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противоглаукомные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препараты 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миотические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SOIEB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пилокарпин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капли глазные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SOIEC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ингибиторы карбоангидразы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ацетазоламид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дорзоламид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капли глазные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SOIED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бета-адреноблокаторы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тимолол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капли глазные; гель глазной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SOI EE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аналоги простагландинов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тафлупрост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капли глазные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SOIEX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другие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противоглаукомные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4" w:lineRule="exact"/>
              <w:ind w:left="18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бутиламиногидрокси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пропоксифенокси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4" w:lineRule="exact"/>
              <w:ind w:left="18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метилметилоксадиазол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капли глазные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SOIF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мидриатические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циклоплегические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SOIFA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антихолинэргические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тропикамид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капли глазные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SOIK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SOIKA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вязкоэластичные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соединения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гипромеллоза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капли глазные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S02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препараты для лечения заболеваний уха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S02A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противомикробные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S02AA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противомикробные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рифамицин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капли ушные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V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прочие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V03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лечебные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V03A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лечебные средства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V03AB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антидоты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димеркаптопропа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gram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сульфонат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натрия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4" w:lineRule="exact"/>
              <w:ind w:left="500" w:firstLine="42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V03AC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железосвязывающие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препараты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деферазирокс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4" w:lineRule="exact"/>
              <w:ind w:left="500" w:hanging="28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таблетки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диспергируемые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; таблетки, покрытые пленочной оболочкой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V03AE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препараты для лечения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гиперкалиемии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комплекс бета железа (III)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оксигидроксида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, сахарозы и крахмала &lt;*&gt;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 жевательные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V03AF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64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дезинтоксикационные</w:t>
            </w:r>
            <w:proofErr w:type="spellEnd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кальция </w:t>
            </w: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фолинат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капсулы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V06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лечебное питание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V06D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другие продукты лечебного питания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</w:tbl>
    <w:p w:rsidR="001B75DF" w:rsidRPr="001B75DF" w:rsidRDefault="001B75DF" w:rsidP="001B75DF">
      <w:pPr>
        <w:framePr w:w="1065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3984"/>
        <w:gridCol w:w="2400"/>
        <w:gridCol w:w="2981"/>
      </w:tblGrid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val="en-US"/>
              </w:rPr>
              <w:t>V06DD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аминокислоты, включая комбинации </w:t>
            </w:r>
            <w:proofErr w:type="gram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кетоаналоги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таблетки, покрытые</w:t>
            </w:r>
          </w:p>
        </w:tc>
      </w:tr>
      <w:tr w:rsidR="001B75DF" w:rsidRPr="001B75DF" w:rsidTr="00657C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полипептидами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аминокислот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5DF" w:rsidRPr="001B75DF" w:rsidRDefault="001B75DF" w:rsidP="001B75DF">
            <w:pPr>
              <w:framePr w:w="1062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1B75DF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пленочной оболочкой</w:t>
            </w:r>
          </w:p>
        </w:tc>
      </w:tr>
    </w:tbl>
    <w:p w:rsidR="001B75DF" w:rsidRPr="001B75DF" w:rsidRDefault="001B75DF" w:rsidP="001B75DF">
      <w:pPr>
        <w:framePr w:w="1062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1B75DF" w:rsidRPr="001B75DF" w:rsidRDefault="001B75DF" w:rsidP="001B75DF">
      <w:pPr>
        <w:widowControl w:val="0"/>
        <w:spacing w:before="263" w:after="0" w:line="274" w:lineRule="exact"/>
        <w:ind w:left="280" w:right="1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proofErr w:type="gramStart"/>
      <w:r w:rsidRPr="001B75D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&lt;1&gt; Перечень групп населения и категорий заболеваний установлен постановлением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(в ред. постановлений Правительства Российской Федерации от 10.07.1995 № 685, от 27.12.1997 № 1629, от 03.08.1998 № 882, от 05.04.1999 № 374, от 21.09.2000 № 707, от 14.02.2002 № 103, с изм</w:t>
      </w:r>
      <w:proofErr w:type="gramEnd"/>
      <w:r w:rsidRPr="001B75D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., </w:t>
      </w:r>
      <w:proofErr w:type="gramStart"/>
      <w:r w:rsidRPr="001B75D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внесенными</w:t>
      </w:r>
      <w:proofErr w:type="gramEnd"/>
      <w:r w:rsidRPr="001B75D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постановлением Правительства Российской Федерации от 29.03.1999 № 347).</w:t>
      </w:r>
    </w:p>
    <w:p w:rsidR="001B75DF" w:rsidRPr="001B75DF" w:rsidRDefault="001B75DF" w:rsidP="001B75DF">
      <w:pPr>
        <w:widowControl w:val="0"/>
        <w:spacing w:after="0" w:line="274" w:lineRule="exact"/>
        <w:ind w:left="280" w:right="1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1B75D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&lt;*&gt; Лекарственные препараты, назначаемые по решению врачебной комиссии медицинской организации.</w:t>
      </w:r>
    </w:p>
    <w:p w:rsidR="001B75DF" w:rsidRPr="001B75DF" w:rsidRDefault="001B75DF" w:rsidP="001B75DF">
      <w:pPr>
        <w:widowControl w:val="0"/>
        <w:spacing w:after="277" w:line="269" w:lineRule="exact"/>
        <w:ind w:left="280" w:right="1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1B75D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&lt;**&gt; Лекарственные препараты, назначаемые по решению врачебных комиссий ГБУЗ </w:t>
      </w:r>
      <w:proofErr w:type="gramStart"/>
      <w:r w:rsidRPr="001B75D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КО</w:t>
      </w:r>
      <w:proofErr w:type="gramEnd"/>
      <w:r w:rsidRPr="001B75D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«Калужская областная клиническая больница», ГБУЗ КО «Калужская областная клиническая детская больница», ГБУЗ КО «Калужский областной клинический онкологический диспансер», ГБУЗ КО «Калужская областная психиатрическая больница имени А.Е. Лифшица» в соответствии с профилем медицинских организаций.</w:t>
      </w:r>
    </w:p>
    <w:p w:rsidR="001B75DF" w:rsidRPr="001B75DF" w:rsidRDefault="001B75DF" w:rsidP="001B75DF">
      <w:pPr>
        <w:widowControl w:val="0"/>
        <w:spacing w:after="0" w:line="298" w:lineRule="exact"/>
        <w:ind w:left="98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1B75D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Лекарственные препараты аптечного изготовления.</w:t>
      </w:r>
    </w:p>
    <w:p w:rsidR="001B75DF" w:rsidRPr="001B75DF" w:rsidRDefault="001B75DF" w:rsidP="001B75DF">
      <w:pPr>
        <w:widowControl w:val="0"/>
        <w:spacing w:after="210" w:line="298" w:lineRule="exact"/>
        <w:ind w:left="280" w:right="18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1B75D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Решение о назначении лекарственных препаратов, не включенных в Перечень, но рекомендованных федеральными медицинскими организациями, принимается врачебными комиссиями ГБУЗ </w:t>
      </w:r>
      <w:proofErr w:type="gramStart"/>
      <w:r w:rsidRPr="001B75D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КО</w:t>
      </w:r>
      <w:proofErr w:type="gramEnd"/>
      <w:r w:rsidRPr="001B75D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«Калужская областная клиническая больница», ГБУЗ КО «Областная клиническая детская больница», ГБУЗ КО «Калужский областной клинический онкологический диспансер», ГБУЗ КО «Калужский областной клинический кожно-венерологический диспансер», ГБУЗ КО «Калужская областная психиатрическая больница имени А.Е. Лифшица» в соответствии с профилем медицинских организаций.</w:t>
      </w:r>
    </w:p>
    <w:p w:rsidR="005462A9" w:rsidRDefault="005462A9"/>
    <w:sectPr w:rsidR="0054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DF"/>
    <w:rsid w:val="001B75DF"/>
    <w:rsid w:val="0054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75DF"/>
  </w:style>
  <w:style w:type="character" w:styleId="a3">
    <w:name w:val="Hyperlink"/>
    <w:basedOn w:val="a0"/>
    <w:uiPriority w:val="99"/>
    <w:rsid w:val="001B75D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1B75D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1B75DF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1B75D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1B75DF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2">
    <w:name w:val="Основной текст (2) + Курсив"/>
    <w:aliases w:val="Интервал 0 pt"/>
    <w:basedOn w:val="2"/>
    <w:uiPriority w:val="99"/>
    <w:rsid w:val="001B75DF"/>
    <w:rPr>
      <w:rFonts w:ascii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1B75D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1B7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1B7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12"/>
    <w:uiPriority w:val="99"/>
    <w:rsid w:val="001B7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Колонтитул"/>
    <w:basedOn w:val="a4"/>
    <w:uiPriority w:val="99"/>
    <w:rsid w:val="001B7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0">
    <w:name w:val="Основной текст (2)3"/>
    <w:basedOn w:val="2"/>
    <w:uiPriority w:val="99"/>
    <w:rsid w:val="001B75D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rsid w:val="001B75D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Колонтитул + Не полужирный"/>
    <w:basedOn w:val="a4"/>
    <w:uiPriority w:val="99"/>
    <w:rsid w:val="001B75DF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28">
    <w:name w:val="Основной текст (2) + 8"/>
    <w:aliases w:val="5 pt"/>
    <w:basedOn w:val="2"/>
    <w:uiPriority w:val="99"/>
    <w:rsid w:val="001B75D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81">
    <w:name w:val="Основной текст (2) + 81"/>
    <w:aliases w:val="5 pt4,Полужирный5"/>
    <w:basedOn w:val="2"/>
    <w:uiPriority w:val="99"/>
    <w:rsid w:val="001B75D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Georgia">
    <w:name w:val="Основной текст (2) + Georgia"/>
    <w:aliases w:val="6 pt"/>
    <w:basedOn w:val="2"/>
    <w:uiPriority w:val="99"/>
    <w:rsid w:val="001B75DF"/>
    <w:rPr>
      <w:rFonts w:ascii="Georgia" w:hAnsi="Georgia" w:cs="Georgia"/>
      <w:sz w:val="12"/>
      <w:szCs w:val="12"/>
      <w:shd w:val="clear" w:color="auto" w:fill="FFFFFF"/>
    </w:rPr>
  </w:style>
  <w:style w:type="character" w:customStyle="1" w:styleId="29pt">
    <w:name w:val="Основной текст (2) + 9 pt"/>
    <w:aliases w:val="Курсив"/>
    <w:basedOn w:val="2"/>
    <w:uiPriority w:val="99"/>
    <w:rsid w:val="001B75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1pt2">
    <w:name w:val="Основной текст (2) + 11 pt2"/>
    <w:aliases w:val="Полужирный4"/>
    <w:basedOn w:val="2"/>
    <w:uiPriority w:val="99"/>
    <w:rsid w:val="001B75D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Georgia2">
    <w:name w:val="Основной текст (2) + Georgia2"/>
    <w:aliases w:val="6,5 pt3"/>
    <w:basedOn w:val="2"/>
    <w:uiPriority w:val="99"/>
    <w:rsid w:val="001B75DF"/>
    <w:rPr>
      <w:rFonts w:ascii="Georgia" w:hAnsi="Georgia" w:cs="Georgia"/>
      <w:sz w:val="13"/>
      <w:szCs w:val="13"/>
      <w:shd w:val="clear" w:color="auto" w:fill="FFFFFF"/>
    </w:rPr>
  </w:style>
  <w:style w:type="character" w:customStyle="1" w:styleId="2Georgia1">
    <w:name w:val="Основной текст (2) + Georgia1"/>
    <w:aliases w:val="6 pt2,Полужирный3,Курсив2"/>
    <w:basedOn w:val="2"/>
    <w:uiPriority w:val="99"/>
    <w:rsid w:val="001B75DF"/>
    <w:rPr>
      <w:rFonts w:ascii="Georgia" w:hAnsi="Georgia" w:cs="Georgia"/>
      <w:b/>
      <w:bCs/>
      <w:i/>
      <w:iCs/>
      <w:sz w:val="12"/>
      <w:szCs w:val="12"/>
      <w:shd w:val="clear" w:color="auto" w:fill="FFFFFF"/>
      <w:lang w:val="en-US" w:eastAsia="en-US"/>
    </w:rPr>
  </w:style>
  <w:style w:type="character" w:customStyle="1" w:styleId="220">
    <w:name w:val="Основной текст (2) + Курсив2"/>
    <w:aliases w:val="Интервал 0 pt3"/>
    <w:basedOn w:val="2"/>
    <w:uiPriority w:val="99"/>
    <w:rsid w:val="001B75DF"/>
    <w:rPr>
      <w:rFonts w:ascii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211pt1">
    <w:name w:val="Основной текст (2) + 11 pt1"/>
    <w:aliases w:val="Курсив1"/>
    <w:basedOn w:val="2"/>
    <w:uiPriority w:val="99"/>
    <w:rsid w:val="001B75DF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6">
    <w:name w:val="Основной текст (2) + 6"/>
    <w:aliases w:val="5 pt2,Полужирный2"/>
    <w:basedOn w:val="2"/>
    <w:uiPriority w:val="99"/>
    <w:rsid w:val="001B75DF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221">
    <w:name w:val="Основной текст (2)2"/>
    <w:basedOn w:val="2"/>
    <w:uiPriority w:val="99"/>
    <w:rsid w:val="001B75D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5pt">
    <w:name w:val="Основной текст (2) + 15 pt"/>
    <w:basedOn w:val="2"/>
    <w:uiPriority w:val="99"/>
    <w:rsid w:val="001B75DF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10">
    <w:name w:val="Основной текст (2) + 10"/>
    <w:aliases w:val="5 pt1,Полужирный1"/>
    <w:basedOn w:val="2"/>
    <w:uiPriority w:val="99"/>
    <w:rsid w:val="001B75DF"/>
    <w:rPr>
      <w:rFonts w:ascii="Times New Roman" w:hAnsi="Times New Roman" w:cs="Times New Roman"/>
      <w:b/>
      <w:bCs/>
      <w:sz w:val="21"/>
      <w:szCs w:val="21"/>
      <w:shd w:val="clear" w:color="auto" w:fill="FFFFFF"/>
      <w:lang w:val="en-US" w:eastAsia="en-US"/>
    </w:rPr>
  </w:style>
  <w:style w:type="character" w:customStyle="1" w:styleId="211">
    <w:name w:val="Основной текст (2) + Курсив1"/>
    <w:basedOn w:val="2"/>
    <w:uiPriority w:val="99"/>
    <w:rsid w:val="001B75D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Constantia">
    <w:name w:val="Основной текст (2) + Constantia"/>
    <w:basedOn w:val="2"/>
    <w:uiPriority w:val="99"/>
    <w:rsid w:val="001B75DF"/>
    <w:rPr>
      <w:rFonts w:ascii="Constantia" w:hAnsi="Constantia" w:cs="Constantia"/>
      <w:sz w:val="26"/>
      <w:szCs w:val="26"/>
      <w:shd w:val="clear" w:color="auto" w:fill="FFFFFF"/>
    </w:rPr>
  </w:style>
  <w:style w:type="character" w:customStyle="1" w:styleId="2Calibri">
    <w:name w:val="Основной текст (2) + Calibri"/>
    <w:aliases w:val="10 pt,Интервал 0 pt2"/>
    <w:basedOn w:val="2"/>
    <w:uiPriority w:val="99"/>
    <w:rsid w:val="001B75DF"/>
    <w:rPr>
      <w:rFonts w:ascii="Calibri" w:hAnsi="Calibri" w:cs="Calibri"/>
      <w:spacing w:val="-10"/>
      <w:sz w:val="20"/>
      <w:szCs w:val="20"/>
      <w:shd w:val="clear" w:color="auto" w:fill="FFFFFF"/>
    </w:rPr>
  </w:style>
  <w:style w:type="character" w:customStyle="1" w:styleId="2Calibri1">
    <w:name w:val="Основной текст (2) + Calibri1"/>
    <w:aliases w:val="6 pt1,Интервал 0 pt1"/>
    <w:basedOn w:val="2"/>
    <w:uiPriority w:val="99"/>
    <w:rsid w:val="001B75DF"/>
    <w:rPr>
      <w:rFonts w:ascii="Calibri" w:hAnsi="Calibri" w:cs="Calibri"/>
      <w:spacing w:val="10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B75DF"/>
    <w:pPr>
      <w:widowControl w:val="0"/>
      <w:shd w:val="clear" w:color="auto" w:fill="FFFFFF"/>
      <w:spacing w:after="0" w:line="859" w:lineRule="exact"/>
      <w:jc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link w:val="10"/>
    <w:uiPriority w:val="99"/>
    <w:rsid w:val="001B75DF"/>
    <w:pPr>
      <w:widowControl w:val="0"/>
      <w:shd w:val="clear" w:color="auto" w:fill="FFFFFF"/>
      <w:spacing w:after="0" w:line="859" w:lineRule="exact"/>
      <w:jc w:val="center"/>
      <w:outlineLvl w:val="0"/>
    </w:pPr>
    <w:rPr>
      <w:rFonts w:ascii="Times New Roman" w:hAnsi="Times New Roman" w:cs="Times New Roman"/>
      <w:b/>
      <w:bCs/>
      <w:sz w:val="42"/>
      <w:szCs w:val="42"/>
    </w:rPr>
  </w:style>
  <w:style w:type="paragraph" w:customStyle="1" w:styleId="21">
    <w:name w:val="Основной текст (2)1"/>
    <w:basedOn w:val="a"/>
    <w:link w:val="2"/>
    <w:uiPriority w:val="99"/>
    <w:rsid w:val="001B75DF"/>
    <w:pPr>
      <w:widowControl w:val="0"/>
      <w:shd w:val="clear" w:color="auto" w:fill="FFFFFF"/>
      <w:spacing w:after="960" w:line="240" w:lineRule="atLeast"/>
      <w:ind w:hanging="56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1B75DF"/>
    <w:pPr>
      <w:widowControl w:val="0"/>
      <w:shd w:val="clear" w:color="auto" w:fill="FFFFFF"/>
      <w:spacing w:before="420" w:after="0" w:line="298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uiPriority w:val="99"/>
    <w:rsid w:val="001B75DF"/>
    <w:pPr>
      <w:widowControl w:val="0"/>
      <w:shd w:val="clear" w:color="auto" w:fill="FFFFFF"/>
      <w:spacing w:before="180" w:after="300" w:line="240" w:lineRule="atLeast"/>
      <w:ind w:hanging="1540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Колонтитул1"/>
    <w:basedOn w:val="a"/>
    <w:link w:val="a4"/>
    <w:uiPriority w:val="99"/>
    <w:rsid w:val="001B75DF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uiPriority w:val="99"/>
    <w:rsid w:val="001B75D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75DF"/>
  </w:style>
  <w:style w:type="character" w:styleId="a3">
    <w:name w:val="Hyperlink"/>
    <w:basedOn w:val="a0"/>
    <w:uiPriority w:val="99"/>
    <w:rsid w:val="001B75D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1B75D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1B75DF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1B75D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1B75DF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22">
    <w:name w:val="Основной текст (2) + Курсив"/>
    <w:aliases w:val="Интервал 0 pt"/>
    <w:basedOn w:val="2"/>
    <w:uiPriority w:val="99"/>
    <w:rsid w:val="001B75DF"/>
    <w:rPr>
      <w:rFonts w:ascii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1B75D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1B7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1B7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12"/>
    <w:uiPriority w:val="99"/>
    <w:rsid w:val="001B7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Колонтитул"/>
    <w:basedOn w:val="a4"/>
    <w:uiPriority w:val="99"/>
    <w:rsid w:val="001B7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0">
    <w:name w:val="Основной текст (2)3"/>
    <w:basedOn w:val="2"/>
    <w:uiPriority w:val="99"/>
    <w:rsid w:val="001B75D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rsid w:val="001B75D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Колонтитул + Не полужирный"/>
    <w:basedOn w:val="a4"/>
    <w:uiPriority w:val="99"/>
    <w:rsid w:val="001B75DF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28">
    <w:name w:val="Основной текст (2) + 8"/>
    <w:aliases w:val="5 pt"/>
    <w:basedOn w:val="2"/>
    <w:uiPriority w:val="99"/>
    <w:rsid w:val="001B75D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81">
    <w:name w:val="Основной текст (2) + 81"/>
    <w:aliases w:val="5 pt4,Полужирный5"/>
    <w:basedOn w:val="2"/>
    <w:uiPriority w:val="99"/>
    <w:rsid w:val="001B75D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Georgia">
    <w:name w:val="Основной текст (2) + Georgia"/>
    <w:aliases w:val="6 pt"/>
    <w:basedOn w:val="2"/>
    <w:uiPriority w:val="99"/>
    <w:rsid w:val="001B75DF"/>
    <w:rPr>
      <w:rFonts w:ascii="Georgia" w:hAnsi="Georgia" w:cs="Georgia"/>
      <w:sz w:val="12"/>
      <w:szCs w:val="12"/>
      <w:shd w:val="clear" w:color="auto" w:fill="FFFFFF"/>
    </w:rPr>
  </w:style>
  <w:style w:type="character" w:customStyle="1" w:styleId="29pt">
    <w:name w:val="Основной текст (2) + 9 pt"/>
    <w:aliases w:val="Курсив"/>
    <w:basedOn w:val="2"/>
    <w:uiPriority w:val="99"/>
    <w:rsid w:val="001B75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1pt2">
    <w:name w:val="Основной текст (2) + 11 pt2"/>
    <w:aliases w:val="Полужирный4"/>
    <w:basedOn w:val="2"/>
    <w:uiPriority w:val="99"/>
    <w:rsid w:val="001B75D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Georgia2">
    <w:name w:val="Основной текст (2) + Georgia2"/>
    <w:aliases w:val="6,5 pt3"/>
    <w:basedOn w:val="2"/>
    <w:uiPriority w:val="99"/>
    <w:rsid w:val="001B75DF"/>
    <w:rPr>
      <w:rFonts w:ascii="Georgia" w:hAnsi="Georgia" w:cs="Georgia"/>
      <w:sz w:val="13"/>
      <w:szCs w:val="13"/>
      <w:shd w:val="clear" w:color="auto" w:fill="FFFFFF"/>
    </w:rPr>
  </w:style>
  <w:style w:type="character" w:customStyle="1" w:styleId="2Georgia1">
    <w:name w:val="Основной текст (2) + Georgia1"/>
    <w:aliases w:val="6 pt2,Полужирный3,Курсив2"/>
    <w:basedOn w:val="2"/>
    <w:uiPriority w:val="99"/>
    <w:rsid w:val="001B75DF"/>
    <w:rPr>
      <w:rFonts w:ascii="Georgia" w:hAnsi="Georgia" w:cs="Georgia"/>
      <w:b/>
      <w:bCs/>
      <w:i/>
      <w:iCs/>
      <w:sz w:val="12"/>
      <w:szCs w:val="12"/>
      <w:shd w:val="clear" w:color="auto" w:fill="FFFFFF"/>
      <w:lang w:val="en-US" w:eastAsia="en-US"/>
    </w:rPr>
  </w:style>
  <w:style w:type="character" w:customStyle="1" w:styleId="220">
    <w:name w:val="Основной текст (2) + Курсив2"/>
    <w:aliases w:val="Интервал 0 pt3"/>
    <w:basedOn w:val="2"/>
    <w:uiPriority w:val="99"/>
    <w:rsid w:val="001B75DF"/>
    <w:rPr>
      <w:rFonts w:ascii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211pt1">
    <w:name w:val="Основной текст (2) + 11 pt1"/>
    <w:aliases w:val="Курсив1"/>
    <w:basedOn w:val="2"/>
    <w:uiPriority w:val="99"/>
    <w:rsid w:val="001B75DF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6">
    <w:name w:val="Основной текст (2) + 6"/>
    <w:aliases w:val="5 pt2,Полужирный2"/>
    <w:basedOn w:val="2"/>
    <w:uiPriority w:val="99"/>
    <w:rsid w:val="001B75DF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221">
    <w:name w:val="Основной текст (2)2"/>
    <w:basedOn w:val="2"/>
    <w:uiPriority w:val="99"/>
    <w:rsid w:val="001B75D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5pt">
    <w:name w:val="Основной текст (2) + 15 pt"/>
    <w:basedOn w:val="2"/>
    <w:uiPriority w:val="99"/>
    <w:rsid w:val="001B75DF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10">
    <w:name w:val="Основной текст (2) + 10"/>
    <w:aliases w:val="5 pt1,Полужирный1"/>
    <w:basedOn w:val="2"/>
    <w:uiPriority w:val="99"/>
    <w:rsid w:val="001B75DF"/>
    <w:rPr>
      <w:rFonts w:ascii="Times New Roman" w:hAnsi="Times New Roman" w:cs="Times New Roman"/>
      <w:b/>
      <w:bCs/>
      <w:sz w:val="21"/>
      <w:szCs w:val="21"/>
      <w:shd w:val="clear" w:color="auto" w:fill="FFFFFF"/>
      <w:lang w:val="en-US" w:eastAsia="en-US"/>
    </w:rPr>
  </w:style>
  <w:style w:type="character" w:customStyle="1" w:styleId="211">
    <w:name w:val="Основной текст (2) + Курсив1"/>
    <w:basedOn w:val="2"/>
    <w:uiPriority w:val="99"/>
    <w:rsid w:val="001B75D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Constantia">
    <w:name w:val="Основной текст (2) + Constantia"/>
    <w:basedOn w:val="2"/>
    <w:uiPriority w:val="99"/>
    <w:rsid w:val="001B75DF"/>
    <w:rPr>
      <w:rFonts w:ascii="Constantia" w:hAnsi="Constantia" w:cs="Constantia"/>
      <w:sz w:val="26"/>
      <w:szCs w:val="26"/>
      <w:shd w:val="clear" w:color="auto" w:fill="FFFFFF"/>
    </w:rPr>
  </w:style>
  <w:style w:type="character" w:customStyle="1" w:styleId="2Calibri">
    <w:name w:val="Основной текст (2) + Calibri"/>
    <w:aliases w:val="10 pt,Интервал 0 pt2"/>
    <w:basedOn w:val="2"/>
    <w:uiPriority w:val="99"/>
    <w:rsid w:val="001B75DF"/>
    <w:rPr>
      <w:rFonts w:ascii="Calibri" w:hAnsi="Calibri" w:cs="Calibri"/>
      <w:spacing w:val="-10"/>
      <w:sz w:val="20"/>
      <w:szCs w:val="20"/>
      <w:shd w:val="clear" w:color="auto" w:fill="FFFFFF"/>
    </w:rPr>
  </w:style>
  <w:style w:type="character" w:customStyle="1" w:styleId="2Calibri1">
    <w:name w:val="Основной текст (2) + Calibri1"/>
    <w:aliases w:val="6 pt1,Интервал 0 pt1"/>
    <w:basedOn w:val="2"/>
    <w:uiPriority w:val="99"/>
    <w:rsid w:val="001B75DF"/>
    <w:rPr>
      <w:rFonts w:ascii="Calibri" w:hAnsi="Calibri" w:cs="Calibri"/>
      <w:spacing w:val="10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B75DF"/>
    <w:pPr>
      <w:widowControl w:val="0"/>
      <w:shd w:val="clear" w:color="auto" w:fill="FFFFFF"/>
      <w:spacing w:after="0" w:line="859" w:lineRule="exact"/>
      <w:jc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link w:val="10"/>
    <w:uiPriority w:val="99"/>
    <w:rsid w:val="001B75DF"/>
    <w:pPr>
      <w:widowControl w:val="0"/>
      <w:shd w:val="clear" w:color="auto" w:fill="FFFFFF"/>
      <w:spacing w:after="0" w:line="859" w:lineRule="exact"/>
      <w:jc w:val="center"/>
      <w:outlineLvl w:val="0"/>
    </w:pPr>
    <w:rPr>
      <w:rFonts w:ascii="Times New Roman" w:hAnsi="Times New Roman" w:cs="Times New Roman"/>
      <w:b/>
      <w:bCs/>
      <w:sz w:val="42"/>
      <w:szCs w:val="42"/>
    </w:rPr>
  </w:style>
  <w:style w:type="paragraph" w:customStyle="1" w:styleId="21">
    <w:name w:val="Основной текст (2)1"/>
    <w:basedOn w:val="a"/>
    <w:link w:val="2"/>
    <w:uiPriority w:val="99"/>
    <w:rsid w:val="001B75DF"/>
    <w:pPr>
      <w:widowControl w:val="0"/>
      <w:shd w:val="clear" w:color="auto" w:fill="FFFFFF"/>
      <w:spacing w:after="960" w:line="240" w:lineRule="atLeast"/>
      <w:ind w:hanging="56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1B75DF"/>
    <w:pPr>
      <w:widowControl w:val="0"/>
      <w:shd w:val="clear" w:color="auto" w:fill="FFFFFF"/>
      <w:spacing w:before="420" w:after="0" w:line="298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uiPriority w:val="99"/>
    <w:rsid w:val="001B75DF"/>
    <w:pPr>
      <w:widowControl w:val="0"/>
      <w:shd w:val="clear" w:color="auto" w:fill="FFFFFF"/>
      <w:spacing w:before="180" w:after="300" w:line="240" w:lineRule="atLeast"/>
      <w:ind w:hanging="1540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Колонтитул1"/>
    <w:basedOn w:val="a"/>
    <w:link w:val="a4"/>
    <w:uiPriority w:val="99"/>
    <w:rsid w:val="001B75DF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uiPriority w:val="99"/>
    <w:rsid w:val="001B75D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8795</Words>
  <Characters>50138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oio0110</dc:creator>
  <cp:lastModifiedBy>oio0110</cp:lastModifiedBy>
  <cp:revision>1</cp:revision>
  <dcterms:created xsi:type="dcterms:W3CDTF">2019-08-05T06:48:00Z</dcterms:created>
  <dcterms:modified xsi:type="dcterms:W3CDTF">2019-08-05T06:50:00Z</dcterms:modified>
</cp:coreProperties>
</file>